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45" w:rsidRDefault="00A22F45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</w:p>
    <w:p w:rsidR="00580676" w:rsidRDefault="00580676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мероприятий по профилактике нарушений обязательных требований законодательства муниципального контроля</w:t>
      </w:r>
      <w:r w:rsidR="00AE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автомобильного транспорта и дорожного хозяйства</w:t>
      </w:r>
      <w:bookmarkStart w:id="0" w:name="_GoBack"/>
      <w:bookmarkEnd w:id="0"/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</w:t>
      </w:r>
      <w:r w:rsidR="002C1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2F45" w:rsidRPr="004D492F" w:rsidRDefault="00A22F45" w:rsidP="00A22F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76" w:rsidRPr="002C15BC" w:rsidRDefault="00580676" w:rsidP="00A22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C15BC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5BC" w:rsidRPr="002C15BC">
        <w:rPr>
          <w:rFonts w:ascii="Times New Roman" w:hAnsi="Times New Roman" w:cs="Times New Roman"/>
          <w:color w:val="000000"/>
          <w:sz w:val="28"/>
          <w:szCs w:val="28"/>
        </w:rPr>
        <w:t>31.07.2020 года № 248-ФЗ «О государственном контроле (надзоре) и муниципальном контроле в Российской Федерации»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администрации </w:t>
      </w:r>
      <w:r w:rsidR="001B3DAE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 от </w:t>
      </w:r>
      <w:r w:rsidR="00001D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1DE0">
        <w:rPr>
          <w:rFonts w:ascii="Times New Roman" w:eastAsia="Times New Roman" w:hAnsi="Times New Roman" w:cs="Times New Roman"/>
          <w:sz w:val="28"/>
          <w:szCs w:val="28"/>
          <w:lang w:eastAsia="ru-RU"/>
        </w:rPr>
        <w:t>721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F42B4D">
        <w:rPr>
          <w:rFonts w:ascii="Times New Roman" w:hAnsi="Times New Roman" w:cs="Times New Roman"/>
          <w:sz w:val="28"/>
          <w:szCs w:val="28"/>
        </w:rPr>
        <w:t>Программа п</w:t>
      </w:r>
      <w:r w:rsidR="00F42B4D" w:rsidRPr="00F42B4D">
        <w:rPr>
          <w:rFonts w:ascii="Times New Roman" w:hAnsi="Times New Roman" w:cs="Times New Roman"/>
          <w:sz w:val="28"/>
          <w:szCs w:val="28"/>
        </w:rPr>
        <w:t xml:space="preserve">рофилактика рисков причинения вреда (ущерба) охраняемым законом ценностям при эксплуатации автомобильного транспорта, городского наземного электрического транспорта и дорожного хозяйства в границах населенных пунктов </w:t>
      </w:r>
      <w:proofErr w:type="spellStart"/>
      <w:r w:rsidR="00F42B4D" w:rsidRPr="00F42B4D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42B4D" w:rsidRPr="00F42B4D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программой мероприятия в 202</w:t>
      </w:r>
      <w:r w:rsid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реализованы в полном объеме.</w:t>
      </w:r>
    </w:p>
    <w:p w:rsidR="00580676" w:rsidRPr="002C15BC" w:rsidRDefault="002C15BC" w:rsidP="008519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BC">
        <w:rPr>
          <w:rFonts w:ascii="Times New Roman" w:hAnsi="Times New Roman" w:cs="Times New Roman"/>
          <w:sz w:val="28"/>
          <w:szCs w:val="28"/>
        </w:rPr>
        <w:t xml:space="preserve">В 2022 году на основании </w:t>
      </w:r>
      <w:r w:rsidRPr="002C15BC">
        <w:rPr>
          <w:rStyle w:val="fontstyle01"/>
          <w:rFonts w:ascii="Times New Roman" w:hAnsi="Times New Roman" w:cs="Times New Roman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2C15BC">
        <w:rPr>
          <w:rFonts w:ascii="Times New Roman" w:hAnsi="Times New Roman" w:cs="Times New Roman"/>
        </w:rPr>
        <w:t xml:space="preserve"> </w:t>
      </w:r>
      <w:r w:rsidRPr="002C15BC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не проводились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эффективности программы профилактики по количеству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92F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580676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</w:t>
      </w:r>
      <w:r w:rsidR="00B94FE2" w:rsidRPr="002C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676" w:rsidRPr="004D492F" w:rsidRDefault="00580676" w:rsidP="00E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выполнения Плана </w:t>
      </w:r>
      <w:r w:rsidRPr="004D492F">
        <w:rPr>
          <w:rFonts w:ascii="Times New Roman" w:hAnsi="Times New Roman" w:cs="Times New Roman"/>
          <w:b/>
          <w:sz w:val="28"/>
          <w:szCs w:val="28"/>
        </w:rPr>
        <w:t>мероприятий по профилактик</w:t>
      </w:r>
      <w:r w:rsidR="00EB70F4">
        <w:rPr>
          <w:rFonts w:ascii="Times New Roman" w:hAnsi="Times New Roman" w:cs="Times New Roman"/>
          <w:b/>
          <w:sz w:val="28"/>
          <w:szCs w:val="28"/>
        </w:rPr>
        <w:t>е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нарушений на 202</w:t>
      </w:r>
      <w:r w:rsidR="002C15BC">
        <w:rPr>
          <w:rFonts w:ascii="Times New Roman" w:hAnsi="Times New Roman" w:cs="Times New Roman"/>
          <w:b/>
          <w:sz w:val="28"/>
          <w:szCs w:val="28"/>
        </w:rPr>
        <w:t>2</w:t>
      </w:r>
      <w:r w:rsidRPr="004D49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676" w:rsidRPr="004D492F" w:rsidRDefault="00580676" w:rsidP="00EB70F4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4"/>
        <w:gridCol w:w="4431"/>
        <w:gridCol w:w="2835"/>
        <w:gridCol w:w="1686"/>
      </w:tblGrid>
      <w:tr w:rsidR="00F42B4D" w:rsidRPr="00F42B4D" w:rsidTr="00F42B4D">
        <w:trPr>
          <w:trHeight w:val="8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42B4D" w:rsidRPr="00F42B4D" w:rsidRDefault="00F42B4D" w:rsidP="00F42B4D">
            <w:pPr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42B4D" w:rsidRPr="00F42B4D" w:rsidTr="00F42B4D">
        <w:trPr>
          <w:trHeight w:val="2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Надеждинского</w:t>
            </w:r>
            <w:proofErr w:type="spellEnd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2022 года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АНМР</w:t>
            </w:r>
          </w:p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</w:t>
            </w:r>
          </w:p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АНМР</w:t>
            </w:r>
          </w:p>
        </w:tc>
      </w:tr>
      <w:tr w:rsidR="00F42B4D" w:rsidRPr="00F42B4D" w:rsidTr="00F42B4D">
        <w:trPr>
          <w:trHeight w:val="3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физических, юридических лиц и индивидуальных предпринимателей по вопросам соблюдения обязательных требований действующего законодательства,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</w:tc>
      </w:tr>
      <w:tr w:rsidR="00F42B4D" w:rsidRPr="00F42B4D" w:rsidTr="00F42B4D">
        <w:trPr>
          <w:trHeight w:val="2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субъектов муниципального контроля по вопросам соблюдения обязательных требований действующего законодательства, в том числе путем подготовки письменных ответов на поступившие письменные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2022 года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</w:tc>
      </w:tr>
      <w:tr w:rsidR="00F42B4D" w:rsidRPr="00F42B4D" w:rsidTr="00F42B4D">
        <w:trPr>
          <w:trHeight w:val="4661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 изменения обязательных требований уполномоченный орган подготавливает и распространяет комментарии о содержании новых </w:t>
            </w:r>
            <w:r w:rsidRPr="00F4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нормативных правовых актов, </w:t>
            </w: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 действующего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F42B4D" w:rsidRPr="00F42B4D" w:rsidTr="00F42B4D">
        <w:trPr>
          <w:trHeight w:val="4259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proofErr w:type="spellStart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Надеждинского</w:t>
            </w:r>
            <w:proofErr w:type="spellEnd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сети «Интернет» соответствующей информации, в том числе с указанием наиболее часто встречающихся случаев нарушений обязательных требований действующего законодательства с рекомендациями в отношении мер, которые должны приниматься физическими,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</w:t>
            </w:r>
          </w:p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АНМР</w:t>
            </w:r>
          </w:p>
        </w:tc>
      </w:tr>
      <w:tr w:rsidR="00F42B4D" w:rsidRPr="00F42B4D" w:rsidTr="00F42B4D">
        <w:trPr>
          <w:trHeight w:val="256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направление предостережений о недопустимости нарушения обязательных требований в соответствии с положениями ФЗ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при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</w:p>
          <w:p w:rsidR="00F42B4D" w:rsidRPr="00F42B4D" w:rsidRDefault="00F42B4D" w:rsidP="00F42B4D">
            <w:pPr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</w:tc>
      </w:tr>
      <w:tr w:rsidR="00F42B4D" w:rsidRPr="00F42B4D" w:rsidTr="00F42B4D">
        <w:trPr>
          <w:trHeight w:val="2453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программы профилактики рисков причинения вреда (ущерба) охраняемым законом ценностям при эксплуатации автомобильного транспорта, городского наземного электрического транспорта и дорожного хозяйства в границах населенных пунктов </w:t>
            </w:r>
            <w:proofErr w:type="spellStart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Надеждинского</w:t>
            </w:r>
            <w:proofErr w:type="spellEnd"/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на очередной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года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B4D" w:rsidRPr="00F42B4D" w:rsidRDefault="00F42B4D" w:rsidP="00F42B4D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отдела жизнеобеспечения АНМР</w:t>
            </w:r>
          </w:p>
        </w:tc>
      </w:tr>
    </w:tbl>
    <w:p w:rsidR="00C825E1" w:rsidRDefault="00C825E1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F4" w:rsidRDefault="00EB70F4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0F" w:rsidRDefault="00FB2A0F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F4" w:rsidRDefault="00C825E1" w:rsidP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C15B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</w:t>
      </w:r>
      <w:r w:rsidR="00EB7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15BC" w:rsidRDefault="00E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="00C825E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C15BC">
        <w:rPr>
          <w:rFonts w:ascii="Times New Roman" w:hAnsi="Times New Roman" w:cs="Times New Roman"/>
          <w:sz w:val="28"/>
          <w:szCs w:val="28"/>
        </w:rPr>
        <w:t xml:space="preserve">К.С. </w:t>
      </w:r>
      <w:r>
        <w:rPr>
          <w:rFonts w:ascii="Times New Roman" w:hAnsi="Times New Roman" w:cs="Times New Roman"/>
          <w:sz w:val="28"/>
          <w:szCs w:val="28"/>
        </w:rPr>
        <w:t>Вахрушев</w:t>
      </w:r>
    </w:p>
    <w:p w:rsidR="002C15BC" w:rsidRDefault="002C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BC" w:rsidRDefault="002C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5BC" w:rsidRPr="002C15BC" w:rsidRDefault="002C15BC" w:rsidP="002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5BC" w:rsidRPr="002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F63"/>
    <w:multiLevelType w:val="multilevel"/>
    <w:tmpl w:val="5D8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324E6"/>
    <w:multiLevelType w:val="multilevel"/>
    <w:tmpl w:val="748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15524"/>
    <w:multiLevelType w:val="multilevel"/>
    <w:tmpl w:val="149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F7839"/>
    <w:multiLevelType w:val="multilevel"/>
    <w:tmpl w:val="09E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E35BD"/>
    <w:multiLevelType w:val="multilevel"/>
    <w:tmpl w:val="968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76"/>
    <w:rsid w:val="00001DE0"/>
    <w:rsid w:val="000C25DA"/>
    <w:rsid w:val="001B39CB"/>
    <w:rsid w:val="001B3DAE"/>
    <w:rsid w:val="002C15BC"/>
    <w:rsid w:val="0040487C"/>
    <w:rsid w:val="004B7896"/>
    <w:rsid w:val="004D492F"/>
    <w:rsid w:val="00580676"/>
    <w:rsid w:val="006537CD"/>
    <w:rsid w:val="00851964"/>
    <w:rsid w:val="009517A9"/>
    <w:rsid w:val="00A22F45"/>
    <w:rsid w:val="00AE3FCC"/>
    <w:rsid w:val="00B94FE2"/>
    <w:rsid w:val="00C825E1"/>
    <w:rsid w:val="00CD6F4F"/>
    <w:rsid w:val="00D60F4F"/>
    <w:rsid w:val="00D90FE7"/>
    <w:rsid w:val="00EB70F4"/>
    <w:rsid w:val="00F04252"/>
    <w:rsid w:val="00F42B4D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9262"/>
  <w15:chartTrackingRefBased/>
  <w15:docId w15:val="{5ADBC932-A596-4CAD-BF4A-E48616A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rsid w:val="0058067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4D492F"/>
    <w:rPr>
      <w:color w:val="0000FF"/>
      <w:u w:val="single"/>
    </w:rPr>
  </w:style>
  <w:style w:type="paragraph" w:customStyle="1" w:styleId="formattext">
    <w:name w:val="formattext"/>
    <w:basedOn w:val="a"/>
    <w:rsid w:val="004D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4D492F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4D492F"/>
    <w:pPr>
      <w:shd w:val="clear" w:color="auto" w:fill="FFFFFF"/>
      <w:spacing w:after="72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D492F"/>
  </w:style>
  <w:style w:type="paragraph" w:styleId="a7">
    <w:name w:val="Normal (Web)"/>
    <w:basedOn w:val="a"/>
    <w:rsid w:val="00D60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D60F4F"/>
  </w:style>
  <w:style w:type="character" w:customStyle="1" w:styleId="blk">
    <w:name w:val="blk"/>
    <w:basedOn w:val="a0"/>
    <w:rsid w:val="00D60F4F"/>
  </w:style>
  <w:style w:type="character" w:customStyle="1" w:styleId="fontstyle01">
    <w:name w:val="fontstyle01"/>
    <w:basedOn w:val="a0"/>
    <w:rsid w:val="002C15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User</cp:lastModifiedBy>
  <cp:revision>17</cp:revision>
  <dcterms:created xsi:type="dcterms:W3CDTF">2021-12-16T23:02:00Z</dcterms:created>
  <dcterms:modified xsi:type="dcterms:W3CDTF">2023-04-26T05:32:00Z</dcterms:modified>
</cp:coreProperties>
</file>